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1F7" w:rsidRDefault="00994A27" w:rsidP="00426E6F">
      <w:pPr>
        <w:tabs>
          <w:tab w:val="left" w:pos="10915"/>
        </w:tabs>
        <w:ind w:left="1134" w:right="991"/>
        <w:rPr>
          <w:rFonts w:ascii="Humnst777 Lt BT" w:hAnsi="Humnst777 Lt BT"/>
          <w:sz w:val="22"/>
        </w:rPr>
      </w:pPr>
      <w:r>
        <w:rPr>
          <w:rFonts w:ascii="Humnst777 Lt BT" w:hAnsi="Humnst777 Lt BT"/>
          <w:b/>
          <w:color w:val="7F7F7F" w:themeColor="text1" w:themeTint="80"/>
          <w:sz w:val="36"/>
        </w:rPr>
        <w:t xml:space="preserve">Memmert se pasa al refrigerante respetuoso con el clima                          </w:t>
      </w:r>
    </w:p>
    <w:p w:rsidR="00921163" w:rsidRDefault="001919F1">
      <w:pPr>
        <w:ind w:left="1134" w:right="3289"/>
        <w:rPr>
          <w:rFonts w:ascii="Humnst777 Lt BT" w:hAnsi="Humnst777 Lt BT"/>
          <w:sz w:val="22"/>
        </w:rPr>
      </w:pPr>
      <w:r>
        <w:rPr>
          <w:rFonts w:ascii="Humnst777 Lt BT" w:hAnsi="Humnst777 Lt BT"/>
          <w:noProof/>
          <w:sz w:val="22"/>
          <w:lang w:val="de-DE"/>
        </w:rPr>
        <mc:AlternateContent>
          <mc:Choice Requires="wps">
            <w:drawing>
              <wp:anchor distT="0" distB="0" distL="114300" distR="114300" simplePos="0" relativeHeight="251660288" behindDoc="0" locked="0" layoutInCell="1" allowOverlap="1">
                <wp:simplePos x="0" y="0"/>
                <wp:positionH relativeFrom="column">
                  <wp:posOffset>704850</wp:posOffset>
                </wp:positionH>
                <wp:positionV relativeFrom="paragraph">
                  <wp:posOffset>149225</wp:posOffset>
                </wp:positionV>
                <wp:extent cx="6287770" cy="0"/>
                <wp:effectExtent l="9525" t="8255" r="8255" b="1079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7770" cy="0"/>
                        </a:xfrm>
                        <a:prstGeom prst="straightConnector1">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1DD2AF0" id="_x0000_t32" coordsize="21600,21600" o:spt="32" o:oned="t" path="m,l21600,21600e" filled="f">
                <v:path arrowok="t" fillok="f" o:connecttype="none"/>
                <o:lock v:ext="edit" shapetype="t"/>
              </v:shapetype>
              <v:shape id="AutoShape 4" o:spid="_x0000_s1026" type="#_x0000_t32" style="position:absolute;margin-left:55.5pt;margin-top:11.75pt;width:495.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" strokecolor="gray" strokeweight=".5pt"/>
            </w:pict>
          </mc:Fallback>
        </mc:AlternateContent>
      </w:r>
    </w:p>
    <w:p w:rsidR="00921163" w:rsidRDefault="00921163">
      <w:pPr>
        <w:ind w:left="1134" w:right="3289"/>
        <w:rPr>
          <w:rFonts w:ascii="Humnst777 Lt BT" w:hAnsi="Humnst777 Lt BT"/>
          <w:sz w:val="22"/>
        </w:rPr>
      </w:pPr>
    </w:p>
    <w:p w:rsidR="005C669D" w:rsidRPr="005C669D" w:rsidRDefault="00915C65" w:rsidP="00761B90">
      <w:pPr>
        <w:tabs>
          <w:tab w:val="left" w:pos="8505"/>
        </w:tabs>
        <w:ind w:left="1134" w:right="849"/>
        <w:rPr>
          <w:rFonts w:ascii="Humnst777 Lt BT" w:hAnsi="Humnst777 Lt BT"/>
          <w:b/>
          <w:sz w:val="28"/>
          <w:szCs w:val="28"/>
        </w:rPr>
      </w:pPr>
      <w:r>
        <w:rPr>
          <w:rFonts w:ascii="Humnst777 Lt BT" w:hAnsi="Humnst777 Lt BT"/>
          <w:b/>
          <w:sz w:val="28"/>
          <w:szCs w:val="28"/>
        </w:rPr>
        <w:t>Cámara para pruebas ambientales CTC y TTC ahora con refrigerante R449A respetuoso con el clima</w:t>
      </w:r>
    </w:p>
    <w:p w:rsidR="00CC76D4" w:rsidRDefault="00CC76D4" w:rsidP="00761B90">
      <w:pPr>
        <w:tabs>
          <w:tab w:val="left" w:pos="8505"/>
        </w:tabs>
        <w:ind w:left="1134" w:right="849"/>
        <w:rPr>
          <w:rFonts w:ascii="Humnst777 Lt BT" w:hAnsi="Humnst777 Lt BT"/>
          <w:sz w:val="20"/>
        </w:rPr>
      </w:pPr>
    </w:p>
    <w:p w:rsidR="005C669D" w:rsidRPr="00CC76D4" w:rsidRDefault="005C669D" w:rsidP="00761B90">
      <w:pPr>
        <w:tabs>
          <w:tab w:val="left" w:pos="8505"/>
        </w:tabs>
        <w:ind w:left="1134" w:right="849"/>
        <w:rPr>
          <w:rFonts w:ascii="Humnst777 Lt BT" w:hAnsi="Humnst777 Lt BT"/>
          <w:sz w:val="22"/>
        </w:rPr>
      </w:pPr>
      <w:r>
        <w:rPr>
          <w:rFonts w:ascii="Humnst777 Lt BT" w:hAnsi="Humnst777 Lt BT"/>
          <w:sz w:val="22"/>
        </w:rPr>
        <w:t xml:space="preserve">Schwabach, abril de 2018. </w:t>
      </w:r>
    </w:p>
    <w:p w:rsidR="005C669D" w:rsidRDefault="005C669D" w:rsidP="00761B90">
      <w:pPr>
        <w:tabs>
          <w:tab w:val="left" w:pos="8505"/>
        </w:tabs>
        <w:ind w:left="1134" w:right="849"/>
        <w:rPr>
          <w:rFonts w:ascii="Humnst777 Lt BT" w:hAnsi="Humnst777 Lt BT"/>
          <w:sz w:val="22"/>
        </w:rPr>
      </w:pPr>
    </w:p>
    <w:p w:rsidR="00CC76D4" w:rsidRPr="00CC76D4" w:rsidRDefault="00CC76D4" w:rsidP="00761B90">
      <w:pPr>
        <w:tabs>
          <w:tab w:val="left" w:pos="8505"/>
        </w:tabs>
        <w:ind w:left="1134" w:right="849"/>
        <w:rPr>
          <w:rFonts w:ascii="Humnst777 Lt BT" w:hAnsi="Humnst777 Lt BT"/>
          <w:sz w:val="22"/>
        </w:rPr>
      </w:pPr>
    </w:p>
    <w:p w:rsidR="005C669D" w:rsidRPr="00CC76D4" w:rsidRDefault="005C669D" w:rsidP="004D496F">
      <w:pPr>
        <w:tabs>
          <w:tab w:val="left" w:pos="8505"/>
        </w:tabs>
        <w:ind w:left="1134" w:right="849"/>
        <w:rPr>
          <w:rFonts w:ascii="Humnst777 Lt BT" w:hAnsi="Humnst777 Lt BT"/>
          <w:i/>
          <w:sz w:val="22"/>
        </w:rPr>
      </w:pPr>
      <w:r>
        <w:rPr>
          <w:rFonts w:ascii="Humnst777 Lt BT" w:hAnsi="Humnst777 Lt BT"/>
          <w:i/>
          <w:sz w:val="22"/>
        </w:rPr>
        <w:t xml:space="preserve">Memmert ya ha comenzado a convertir la cámara climática CTC y la cámara para pruebas térmicas TTC al refrigerante R449A. Por lo tanto, el funcionamiento de todos los equipos queda garantizado también después del 31/12/2019.  </w:t>
      </w:r>
    </w:p>
    <w:p w:rsidR="004D496F" w:rsidRDefault="004D496F" w:rsidP="004D496F">
      <w:pPr>
        <w:tabs>
          <w:tab w:val="left" w:pos="8505"/>
        </w:tabs>
        <w:ind w:left="1134" w:right="849"/>
        <w:rPr>
          <w:rFonts w:ascii="Humnst777 Lt BT" w:hAnsi="Humnst777 Lt BT"/>
          <w:i/>
          <w:sz w:val="22"/>
        </w:rPr>
      </w:pPr>
    </w:p>
    <w:p w:rsidR="00CC76D4" w:rsidRPr="00CC76D4" w:rsidRDefault="00CC76D4" w:rsidP="004D496F">
      <w:pPr>
        <w:tabs>
          <w:tab w:val="left" w:pos="8505"/>
        </w:tabs>
        <w:ind w:left="1134" w:right="849"/>
        <w:rPr>
          <w:rFonts w:ascii="Humnst777 Lt BT" w:hAnsi="Humnst777 Lt BT"/>
          <w:i/>
          <w:sz w:val="22"/>
        </w:rPr>
      </w:pPr>
    </w:p>
    <w:p w:rsidR="003D0E62" w:rsidRPr="00CC76D4" w:rsidRDefault="00E2515E" w:rsidP="00D0365F">
      <w:pPr>
        <w:tabs>
          <w:tab w:val="left" w:pos="8505"/>
        </w:tabs>
        <w:ind w:left="1134" w:right="849"/>
        <w:rPr>
          <w:rFonts w:ascii="Humnst777 Lt BT" w:hAnsi="Humnst777 Lt BT"/>
          <w:b/>
          <w:sz w:val="22"/>
        </w:rPr>
      </w:pPr>
      <w:r>
        <w:rPr>
          <w:rFonts w:ascii="Humnst777 Lt BT" w:hAnsi="Humnst777 Lt BT"/>
          <w:b/>
          <w:sz w:val="22"/>
        </w:rPr>
        <w:t xml:space="preserve">La conversión se ordena en el reglamento de la UE sobre gases fluorados de efecto invernadero </w:t>
      </w:r>
    </w:p>
    <w:p w:rsidR="005E030E" w:rsidRDefault="00C71811" w:rsidP="00695014">
      <w:pPr>
        <w:tabs>
          <w:tab w:val="left" w:pos="11057"/>
        </w:tabs>
        <w:ind w:left="1134" w:right="849"/>
        <w:rPr>
          <w:rStyle w:val="Fett"/>
          <w:rFonts w:ascii="Humnst777 Lt BT" w:hAnsi="Humnst777 Lt BT"/>
          <w:b w:val="0"/>
          <w:sz w:val="22"/>
          <w:szCs w:val="20"/>
          <w:shd w:val="clear" w:color="auto" w:fill="FFFFFF"/>
        </w:rPr>
      </w:pPr>
      <w:r>
        <w:rPr>
          <w:rStyle w:val="Fett"/>
          <w:rFonts w:ascii="Humnst777 Lt BT" w:hAnsi="Humnst777 Lt BT"/>
          <w:b w:val="0"/>
          <w:sz w:val="22"/>
          <w:szCs w:val="20"/>
          <w:shd w:val="clear" w:color="auto" w:fill="FFFFFF"/>
        </w:rPr>
        <w:t>El reglamento sobre gases fluorados tiene el fin de reducir las emisiones del sector industrial en la UE en un 70 por ciento hasta el año de 2030 en comparación con 1990. El objetivo en relación a las emisiones de gases fluorados de efecto invernadero (Gases F) es reducir para el año 2030 el equivalente de CO</w:t>
      </w:r>
      <w:r>
        <w:rPr>
          <w:rStyle w:val="Fett"/>
          <w:rFonts w:ascii="Humnst777 Lt BT" w:hAnsi="Humnst777 Lt BT"/>
          <w:b w:val="0"/>
          <w:sz w:val="22"/>
          <w:szCs w:val="20"/>
          <w:shd w:val="clear" w:color="auto" w:fill="FFFFFF"/>
          <w:vertAlign w:val="subscript"/>
        </w:rPr>
        <w:t>2</w:t>
      </w:r>
      <w:r>
        <w:rPr>
          <w:rStyle w:val="Fett"/>
          <w:rFonts w:ascii="Humnst777 Lt BT" w:hAnsi="Humnst777 Lt BT"/>
          <w:b w:val="0"/>
          <w:sz w:val="22"/>
          <w:szCs w:val="20"/>
          <w:shd w:val="clear" w:color="auto" w:fill="FFFFFF"/>
        </w:rPr>
        <w:t xml:space="preserve"> a 70 millones de toneladas al equivalente de CO</w:t>
      </w:r>
      <w:r>
        <w:rPr>
          <w:rStyle w:val="Fett"/>
          <w:rFonts w:ascii="Humnst777 Lt BT" w:hAnsi="Humnst777 Lt BT"/>
          <w:b w:val="0"/>
          <w:sz w:val="22"/>
          <w:szCs w:val="20"/>
          <w:shd w:val="clear" w:color="auto" w:fill="FFFFFF"/>
          <w:vertAlign w:val="subscript"/>
        </w:rPr>
        <w:t>2</w:t>
      </w:r>
      <w:r>
        <w:rPr>
          <w:rStyle w:val="Fett"/>
          <w:rFonts w:ascii="Humnst777 Lt BT" w:hAnsi="Humnst777 Lt BT"/>
          <w:b w:val="0"/>
          <w:sz w:val="22"/>
          <w:szCs w:val="20"/>
          <w:shd w:val="clear" w:color="auto" w:fill="FFFFFF"/>
        </w:rPr>
        <w:t xml:space="preserve"> a 35 millones de toneladas. A tal fin, el uso de hidrocarburos fluorados (HFC) disponibles actualmente con un potencial de calentamiento global (Global Warming Potential = GWP) de más de 2500 se irá prohibiendo progresivamente. Por lo tanto, incluso el refrigerante R404A, que a menudo se utiliza en </w:t>
      </w:r>
      <w:r>
        <w:rPr>
          <w:rFonts w:ascii="Humnst777 Lt BT" w:hAnsi="Humnst777 Lt BT"/>
          <w:sz w:val="22"/>
          <w:szCs w:val="20"/>
        </w:rPr>
        <w:t>cámaras de prueba con sistemas de refrigeración</w:t>
      </w:r>
      <w:r>
        <w:rPr>
          <w:rStyle w:val="Fett"/>
          <w:rFonts w:ascii="Humnst777 Lt BT" w:hAnsi="Humnst777 Lt BT"/>
          <w:b w:val="0"/>
          <w:sz w:val="22"/>
          <w:szCs w:val="20"/>
          <w:shd w:val="clear" w:color="auto" w:fill="FFFFFF"/>
        </w:rPr>
        <w:t xml:space="preserve"> solo está permitido sin restricciones hasta el 31 de diciembre de 2019. </w:t>
      </w:r>
    </w:p>
    <w:p w:rsidR="005E030E" w:rsidRDefault="005E030E" w:rsidP="00695014">
      <w:pPr>
        <w:tabs>
          <w:tab w:val="left" w:pos="11057"/>
        </w:tabs>
        <w:ind w:left="1134" w:right="849"/>
        <w:rPr>
          <w:rStyle w:val="Fett"/>
          <w:rFonts w:ascii="Humnst777 Lt BT" w:hAnsi="Humnst777 Lt BT"/>
          <w:b w:val="0"/>
          <w:sz w:val="22"/>
          <w:szCs w:val="20"/>
          <w:shd w:val="clear" w:color="auto" w:fill="FFFFFF"/>
        </w:rPr>
      </w:pPr>
    </w:p>
    <w:p w:rsidR="003D0E62" w:rsidRDefault="00C71811" w:rsidP="00695014">
      <w:pPr>
        <w:tabs>
          <w:tab w:val="left" w:pos="11057"/>
        </w:tabs>
        <w:ind w:left="1134" w:right="849"/>
        <w:rPr>
          <w:rFonts w:ascii="Humnst777 Lt BT" w:hAnsi="Humnst777 Lt BT"/>
          <w:sz w:val="22"/>
        </w:rPr>
      </w:pPr>
      <w:r>
        <w:rPr>
          <w:rStyle w:val="Fett"/>
          <w:rFonts w:ascii="Humnst777 Lt BT" w:hAnsi="Humnst777 Lt BT"/>
          <w:b w:val="0"/>
          <w:sz w:val="22"/>
          <w:szCs w:val="20"/>
          <w:shd w:val="clear" w:color="auto" w:fill="FFFFFF"/>
        </w:rPr>
        <w:t>A fin de asegurar a los clientes que sus cámaras</w:t>
      </w:r>
      <w:r w:rsidR="005E030E">
        <w:rPr>
          <w:rStyle w:val="Fett"/>
          <w:rFonts w:ascii="Humnst777 Lt BT" w:hAnsi="Humnst777 Lt BT"/>
          <w:b w:val="0"/>
          <w:sz w:val="22"/>
          <w:szCs w:val="20"/>
          <w:shd w:val="clear" w:color="auto" w:fill="FFFFFF"/>
        </w:rPr>
        <w:t xml:space="preserve"> para pruebas ambientales CTC/</w:t>
      </w:r>
      <w:r>
        <w:rPr>
          <w:rStyle w:val="Fett"/>
          <w:rFonts w:ascii="Humnst777 Lt BT" w:hAnsi="Humnst777 Lt BT"/>
          <w:b w:val="0"/>
          <w:sz w:val="22"/>
          <w:szCs w:val="20"/>
          <w:shd w:val="clear" w:color="auto" w:fill="FFFFFF"/>
        </w:rPr>
        <w:t>TTC también pueden ser operadas más allá de esta fecha, Memmert ha reaccionado temprano pasándose al refrigerante R449A. También los equipos existentes pueden reconvertirse al nuevo refrigerante en el procedimiento "Drop-in" (sutitución directa) o "Retrofit" (reconversión), en función de la aplicación. En este contexto también se puede lle</w:t>
      </w:r>
      <w:r w:rsidR="005E030E">
        <w:rPr>
          <w:rStyle w:val="Fett"/>
          <w:rFonts w:ascii="Humnst777 Lt BT" w:hAnsi="Humnst777 Lt BT"/>
          <w:b w:val="0"/>
          <w:sz w:val="22"/>
          <w:szCs w:val="20"/>
          <w:shd w:val="clear" w:color="auto" w:fill="FFFFFF"/>
        </w:rPr>
        <w:t>var a cabo una prueba de fugas.</w:t>
      </w:r>
      <w:r>
        <w:rPr>
          <w:rFonts w:ascii="Humnst777 Lt BT" w:hAnsi="Humnst777 Lt BT"/>
          <w:bCs/>
          <w:sz w:val="22"/>
          <w:szCs w:val="20"/>
          <w:shd w:val="clear" w:color="auto" w:fill="FFFFFF"/>
        </w:rPr>
        <w:br/>
      </w:r>
    </w:p>
    <w:p w:rsidR="00CC76D4" w:rsidRPr="00CC76D4" w:rsidRDefault="00CC76D4" w:rsidP="00695014">
      <w:pPr>
        <w:tabs>
          <w:tab w:val="left" w:pos="11057"/>
        </w:tabs>
        <w:ind w:left="1134" w:right="849"/>
        <w:rPr>
          <w:rFonts w:ascii="Humnst777 Lt BT" w:hAnsi="Humnst777 Lt BT"/>
          <w:sz w:val="22"/>
        </w:rPr>
      </w:pPr>
    </w:p>
    <w:p w:rsidR="002F759F" w:rsidRDefault="00695014" w:rsidP="00695014">
      <w:pPr>
        <w:tabs>
          <w:tab w:val="left" w:pos="11057"/>
        </w:tabs>
        <w:ind w:left="1134" w:right="849"/>
        <w:rPr>
          <w:rFonts w:ascii="Humnst777 Lt BT" w:hAnsi="Humnst777 Lt BT"/>
          <w:sz w:val="22"/>
          <w:szCs w:val="20"/>
        </w:rPr>
      </w:pPr>
      <w:r>
        <w:rPr>
          <w:rFonts w:ascii="Humnst777 Lt BT" w:hAnsi="Humnst777 Lt BT"/>
          <w:b/>
          <w:sz w:val="22"/>
        </w:rPr>
        <w:t>El nuevo refrigerante es significativamente más respetuoso con el clima</w:t>
      </w:r>
      <w:r>
        <w:rPr>
          <w:rFonts w:ascii="Humnst777 Lt BT" w:hAnsi="Humnst777 Lt BT"/>
          <w:b/>
          <w:sz w:val="22"/>
        </w:rPr>
        <w:br/>
      </w:r>
      <w:r>
        <w:rPr>
          <w:rFonts w:ascii="Humnst777 Lt BT" w:hAnsi="Humnst777 Lt BT"/>
          <w:sz w:val="22"/>
          <w:szCs w:val="20"/>
        </w:rPr>
        <w:t>Para poder comparar la contribución de las sustancias al calentamiento de las capas de aire a nivel del suelo y, por lo tanto, al efecto invernadero, se utiliza el valor de GWP en relación con el dióxido de carbono (CO</w:t>
      </w:r>
      <w:r>
        <w:rPr>
          <w:rFonts w:ascii="Humnst777 Lt BT" w:hAnsi="Humnst777 Lt BT"/>
          <w:sz w:val="22"/>
          <w:szCs w:val="20"/>
          <w:vertAlign w:val="subscript"/>
        </w:rPr>
        <w:t>2</w:t>
      </w:r>
      <w:r>
        <w:rPr>
          <w:rFonts w:ascii="Humnst777 Lt BT" w:hAnsi="Humnst777 Lt BT"/>
          <w:sz w:val="22"/>
          <w:szCs w:val="20"/>
        </w:rPr>
        <w:t>) con el valor de GWP 1. De acuerdo con esta fórmula, un kilogramo del refrigerante R404A contribuye 3922 veces más al efecto invernadero que un kilogramo de CO</w:t>
      </w:r>
      <w:r>
        <w:rPr>
          <w:rFonts w:ascii="Humnst777 Lt BT" w:hAnsi="Humnst777 Lt BT"/>
          <w:sz w:val="22"/>
          <w:szCs w:val="20"/>
          <w:vertAlign w:val="subscript"/>
        </w:rPr>
        <w:t>2</w:t>
      </w:r>
      <w:r>
        <w:rPr>
          <w:rFonts w:ascii="Humnst777 Lt BT" w:hAnsi="Humnst777 Lt BT"/>
          <w:sz w:val="22"/>
          <w:szCs w:val="20"/>
        </w:rPr>
        <w:t xml:space="preserve"> dentro de los primeros 100 años después de la liberación. El valor de GWP del nuevo refrigerante R449A es aproximadamente u</w:t>
      </w:r>
      <w:r w:rsidR="00326C67">
        <w:rPr>
          <w:rFonts w:ascii="Humnst777 Lt BT" w:hAnsi="Humnst777 Lt BT"/>
          <w:sz w:val="22"/>
          <w:szCs w:val="20"/>
        </w:rPr>
        <w:t>n 65 % (GWP = 1397) más bajo.</w:t>
      </w:r>
    </w:p>
    <w:p w:rsidR="00326C67" w:rsidRDefault="00326C67" w:rsidP="00695014">
      <w:pPr>
        <w:tabs>
          <w:tab w:val="left" w:pos="11057"/>
        </w:tabs>
        <w:ind w:left="1134" w:right="849"/>
        <w:rPr>
          <w:rFonts w:ascii="Humnst777 Lt BT" w:hAnsi="Humnst777 Lt BT"/>
          <w:sz w:val="22"/>
          <w:szCs w:val="20"/>
        </w:rPr>
      </w:pPr>
    </w:p>
    <w:p w:rsidR="00CC76D4" w:rsidRDefault="00326C67" w:rsidP="00326C67">
      <w:pPr>
        <w:tabs>
          <w:tab w:val="left" w:pos="11057"/>
        </w:tabs>
        <w:ind w:left="1134" w:right="849"/>
        <w:rPr>
          <w:rFonts w:ascii="Humnst777 Lt BT" w:hAnsi="Humnst777 Lt BT"/>
          <w:b/>
          <w:sz w:val="22"/>
        </w:rPr>
      </w:pPr>
      <w:r>
        <w:rPr>
          <w:noProof/>
          <w:lang w:val="de-DE"/>
        </w:rPr>
        <w:drawing>
          <wp:inline distT="0" distB="0" distL="0" distR="0" wp14:anchorId="555F7779" wp14:editId="5A898143">
            <wp:extent cx="2085975" cy="1870710"/>
            <wp:effectExtent l="0" t="0" r="9525" b="0"/>
            <wp:docPr id="4" name="Grafik 4"/>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7"/>
                    <a:srcRect l="21225"/>
                    <a:stretch/>
                  </pic:blipFill>
                  <pic:spPr bwMode="auto">
                    <a:xfrm>
                      <a:off x="0" y="0"/>
                      <a:ext cx="2085975" cy="187071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695014" w:rsidRPr="00CC76D4" w:rsidRDefault="00695014" w:rsidP="004D496F">
      <w:pPr>
        <w:tabs>
          <w:tab w:val="left" w:pos="8505"/>
        </w:tabs>
        <w:ind w:left="1134" w:right="849"/>
        <w:rPr>
          <w:rFonts w:ascii="Humnst777 Lt BT" w:hAnsi="Humnst777 Lt BT"/>
          <w:sz w:val="22"/>
        </w:rPr>
      </w:pPr>
      <w:r>
        <w:rPr>
          <w:rFonts w:ascii="Humnst777 Lt BT" w:hAnsi="Humnst777 Lt BT"/>
          <w:sz w:val="22"/>
        </w:rPr>
        <w:t>Cámaras</w:t>
      </w:r>
      <w:r w:rsidR="007F4D49">
        <w:rPr>
          <w:rFonts w:ascii="Humnst777 Lt BT" w:hAnsi="Humnst777 Lt BT"/>
          <w:sz w:val="22"/>
        </w:rPr>
        <w:t xml:space="preserve"> para pruebas ambientales CTC/</w:t>
      </w:r>
      <w:r>
        <w:rPr>
          <w:rFonts w:ascii="Humnst777 Lt BT" w:hAnsi="Humnst777 Lt BT"/>
          <w:sz w:val="22"/>
        </w:rPr>
        <w:t xml:space="preserve">TTC de Memmert ahora con refrigerante R449A </w:t>
      </w:r>
    </w:p>
    <w:p w:rsidR="00A54D33" w:rsidRDefault="00A54D33" w:rsidP="004D496F">
      <w:pPr>
        <w:tabs>
          <w:tab w:val="left" w:pos="8505"/>
        </w:tabs>
        <w:ind w:left="1134" w:right="849"/>
        <w:rPr>
          <w:rFonts w:ascii="Humnst777 Lt BT" w:hAnsi="Humnst777 Lt BT"/>
          <w:sz w:val="20"/>
        </w:rPr>
      </w:pPr>
    </w:p>
    <w:p w:rsidR="00CC76D4" w:rsidRDefault="00CC76D4" w:rsidP="004D496F">
      <w:pPr>
        <w:tabs>
          <w:tab w:val="left" w:pos="8505"/>
        </w:tabs>
        <w:ind w:left="1134" w:right="849"/>
        <w:rPr>
          <w:rFonts w:ascii="Humnst777 Lt BT" w:hAnsi="Humnst777 Lt BT"/>
          <w:sz w:val="20"/>
        </w:rPr>
      </w:pPr>
    </w:p>
    <w:p w:rsidR="00CC76D4" w:rsidRDefault="00CC76D4" w:rsidP="004D496F">
      <w:pPr>
        <w:tabs>
          <w:tab w:val="left" w:pos="8505"/>
        </w:tabs>
        <w:ind w:left="1134" w:right="849"/>
        <w:rPr>
          <w:rFonts w:ascii="Humnst777 Lt BT" w:hAnsi="Humnst777 Lt BT"/>
          <w:sz w:val="20"/>
        </w:rPr>
      </w:pPr>
    </w:p>
    <w:p w:rsidR="00317641" w:rsidRPr="00317641" w:rsidRDefault="00317641" w:rsidP="00317641">
      <w:pPr>
        <w:tabs>
          <w:tab w:val="left" w:pos="8505"/>
        </w:tabs>
        <w:ind w:left="1134" w:right="849"/>
        <w:rPr>
          <w:rFonts w:ascii="Humnst777 Lt BT" w:hAnsi="Humnst777 Lt BT"/>
          <w:b/>
          <w:sz w:val="22"/>
          <w:szCs w:val="18"/>
        </w:rPr>
      </w:pPr>
      <w:r>
        <w:rPr>
          <w:rFonts w:ascii="Humnst777 Lt BT" w:hAnsi="Humnst777 Lt BT"/>
          <w:b/>
          <w:sz w:val="22"/>
          <w:szCs w:val="18"/>
        </w:rPr>
        <w:t>Responsable del contenido:</w:t>
      </w:r>
    </w:p>
    <w:p w:rsidR="00317641" w:rsidRPr="00317641" w:rsidRDefault="00317641" w:rsidP="00317641">
      <w:pPr>
        <w:tabs>
          <w:tab w:val="left" w:pos="8505"/>
        </w:tabs>
        <w:ind w:left="1134" w:right="849"/>
        <w:rPr>
          <w:rFonts w:ascii="Humnst777 Lt BT" w:hAnsi="Humnst777 Lt BT"/>
          <w:sz w:val="22"/>
          <w:szCs w:val="18"/>
        </w:rPr>
      </w:pPr>
      <w:r>
        <w:rPr>
          <w:rFonts w:ascii="Humnst777 Lt BT" w:hAnsi="Humnst777 Lt BT"/>
          <w:sz w:val="22"/>
          <w:szCs w:val="18"/>
        </w:rPr>
        <w:t>Memmert GmbH &amp; Co. KG</w:t>
      </w:r>
    </w:p>
    <w:p w:rsidR="00317641" w:rsidRPr="00317641" w:rsidRDefault="00317641" w:rsidP="00317641">
      <w:pPr>
        <w:tabs>
          <w:tab w:val="left" w:pos="8505"/>
        </w:tabs>
        <w:ind w:left="1134" w:right="849"/>
        <w:rPr>
          <w:rFonts w:ascii="Humnst777 Lt BT" w:hAnsi="Humnst777 Lt BT"/>
          <w:sz w:val="22"/>
          <w:szCs w:val="18"/>
        </w:rPr>
      </w:pPr>
      <w:r>
        <w:rPr>
          <w:rFonts w:ascii="Humnst777 Lt BT" w:hAnsi="Humnst777 Lt BT"/>
          <w:sz w:val="22"/>
          <w:szCs w:val="18"/>
        </w:rPr>
        <w:t>Jenny Weisler</w:t>
      </w:r>
    </w:p>
    <w:p w:rsidR="00317641" w:rsidRPr="00317641" w:rsidRDefault="00317641" w:rsidP="00317641">
      <w:pPr>
        <w:tabs>
          <w:tab w:val="left" w:pos="8505"/>
        </w:tabs>
        <w:ind w:left="1134" w:right="849"/>
        <w:rPr>
          <w:rFonts w:ascii="Humnst777 Lt BT" w:hAnsi="Humnst777 Lt BT"/>
          <w:sz w:val="22"/>
          <w:szCs w:val="18"/>
        </w:rPr>
      </w:pPr>
      <w:r>
        <w:rPr>
          <w:rFonts w:ascii="Humnst777 Lt BT" w:hAnsi="Humnst777 Lt BT"/>
          <w:sz w:val="22"/>
          <w:szCs w:val="18"/>
        </w:rPr>
        <w:t>Postfach 1720</w:t>
      </w:r>
    </w:p>
    <w:p w:rsidR="00317641" w:rsidRPr="00317641" w:rsidRDefault="00317641" w:rsidP="00317641">
      <w:pPr>
        <w:tabs>
          <w:tab w:val="left" w:pos="8505"/>
        </w:tabs>
        <w:ind w:left="1134" w:right="849"/>
        <w:rPr>
          <w:rFonts w:ascii="Humnst777 Lt BT" w:hAnsi="Humnst777 Lt BT"/>
          <w:sz w:val="22"/>
          <w:szCs w:val="18"/>
        </w:rPr>
      </w:pPr>
      <w:r>
        <w:rPr>
          <w:rFonts w:ascii="Humnst777 Lt BT" w:hAnsi="Humnst777 Lt BT"/>
          <w:sz w:val="22"/>
          <w:szCs w:val="18"/>
        </w:rPr>
        <w:t xml:space="preserve">D-91107 Schwabach (Alemania) </w:t>
      </w:r>
    </w:p>
    <w:p w:rsidR="00317641" w:rsidRPr="00317641" w:rsidRDefault="00317641" w:rsidP="00317641">
      <w:pPr>
        <w:tabs>
          <w:tab w:val="left" w:pos="8505"/>
        </w:tabs>
        <w:ind w:left="1134" w:right="849"/>
        <w:rPr>
          <w:rFonts w:ascii="Humnst777 Lt BT" w:hAnsi="Humnst777 Lt BT"/>
          <w:sz w:val="22"/>
          <w:szCs w:val="18"/>
        </w:rPr>
      </w:pPr>
      <w:r>
        <w:rPr>
          <w:rFonts w:ascii="Humnst777 Lt BT" w:hAnsi="Humnst777 Lt BT"/>
          <w:sz w:val="22"/>
          <w:szCs w:val="18"/>
        </w:rPr>
        <w:t>Teléfono: +49 (0) 91 22/925-199</w:t>
      </w:r>
    </w:p>
    <w:p w:rsidR="00317641" w:rsidRPr="00317641" w:rsidRDefault="00317641" w:rsidP="00317641">
      <w:pPr>
        <w:tabs>
          <w:tab w:val="left" w:pos="8505"/>
        </w:tabs>
        <w:ind w:left="1134" w:right="849"/>
        <w:rPr>
          <w:rFonts w:ascii="Humnst777 Lt BT" w:hAnsi="Humnst777 Lt BT"/>
          <w:sz w:val="22"/>
          <w:szCs w:val="18"/>
        </w:rPr>
      </w:pPr>
      <w:r>
        <w:rPr>
          <w:rFonts w:ascii="Humnst777 Lt BT" w:hAnsi="Humnst777 Lt BT"/>
          <w:sz w:val="22"/>
          <w:szCs w:val="18"/>
        </w:rPr>
        <w:t>Fax: +49 (0) 9122/14585</w:t>
      </w:r>
    </w:p>
    <w:p w:rsidR="00317641" w:rsidRPr="00317641" w:rsidRDefault="00317641" w:rsidP="00317641">
      <w:pPr>
        <w:tabs>
          <w:tab w:val="left" w:pos="8505"/>
        </w:tabs>
        <w:ind w:left="1134" w:right="849"/>
        <w:rPr>
          <w:rFonts w:ascii="Humnst777 Lt BT" w:hAnsi="Humnst777 Lt BT"/>
          <w:sz w:val="22"/>
          <w:szCs w:val="18"/>
        </w:rPr>
      </w:pPr>
      <w:r>
        <w:rPr>
          <w:rFonts w:ascii="Humnst777 Lt BT" w:hAnsi="Humnst777 Lt BT"/>
          <w:sz w:val="22"/>
          <w:szCs w:val="18"/>
        </w:rPr>
        <w:t>E-mail: jweisler@memmert.com</w:t>
      </w:r>
    </w:p>
    <w:p w:rsidR="00921163" w:rsidRPr="003F43D8" w:rsidRDefault="00921163" w:rsidP="00317641">
      <w:pPr>
        <w:tabs>
          <w:tab w:val="left" w:pos="8505"/>
        </w:tabs>
        <w:ind w:left="1134" w:right="849"/>
        <w:rPr>
          <w:rFonts w:ascii="Humnst777 Lt BT" w:hAnsi="Humnst777 Lt BT"/>
          <w:sz w:val="22"/>
          <w:szCs w:val="18"/>
        </w:rPr>
      </w:pPr>
    </w:p>
    <w:sectPr w:rsidR="00921163" w:rsidRPr="003F43D8" w:rsidSect="008C3471">
      <w:headerReference w:type="default" r:id="rId8"/>
      <w:headerReference w:type="first" r:id="rId9"/>
      <w:footerReference w:type="first" r:id="rId10"/>
      <w:type w:val="continuous"/>
      <w:pgSz w:w="11906" w:h="16838" w:code="9"/>
      <w:pgMar w:top="1985" w:right="0" w:bottom="567" w:left="0" w:header="0"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59F" w:rsidRDefault="0084759F">
      <w:r>
        <w:separator/>
      </w:r>
    </w:p>
  </w:endnote>
  <w:endnote w:type="continuationSeparator" w:id="0">
    <w:p w:rsidR="0084759F" w:rsidRDefault="00847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umnst777 Lt BT">
    <w:panose1 w:val="020B0402030504020204"/>
    <w:charset w:val="00"/>
    <w:family w:val="swiss"/>
    <w:pitch w:val="variable"/>
    <w:sig w:usb0="00000087" w:usb1="00000000" w:usb2="00000000" w:usb3="00000000" w:csb0="0000001B" w:csb1="00000000"/>
  </w:font>
  <w:font w:name="Humnst777 BT">
    <w:panose1 w:val="020B06030305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3471" w:rsidRDefault="001919F1">
    <w:pPr>
      <w:pStyle w:val="Fuzeile"/>
    </w:pPr>
    <w:r>
      <w:rPr>
        <w:noProof/>
        <w:lang w:val="de-DE"/>
      </w:rPr>
      <mc:AlternateContent>
        <mc:Choice Requires="wps">
          <w:drawing>
            <wp:anchor distT="0" distB="0" distL="114300" distR="114300" simplePos="0" relativeHeight="251663360" behindDoc="0" locked="0" layoutInCell="1" allowOverlap="1">
              <wp:simplePos x="0" y="0"/>
              <wp:positionH relativeFrom="column">
                <wp:posOffset>2192655</wp:posOffset>
              </wp:positionH>
              <wp:positionV relativeFrom="paragraph">
                <wp:posOffset>-475615</wp:posOffset>
              </wp:positionV>
              <wp:extent cx="5252720" cy="233680"/>
              <wp:effectExtent l="1905" t="1905" r="3175" b="2540"/>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2720" cy="233680"/>
                      </a:xfrm>
                      <a:prstGeom prst="rect">
                        <a:avLst/>
                      </a:prstGeom>
                      <a:solidFill>
                        <a:srgbClr val="C1001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471" w:rsidRPr="00C871F7" w:rsidRDefault="008C3471" w:rsidP="008C3471">
                          <w:pPr>
                            <w:jc w:val="right"/>
                            <w:rPr>
                              <w:rFonts w:ascii="Humnst777 Lt BT" w:hAnsi="Humnst777 Lt BT"/>
                              <w:color w:val="FFFFFF"/>
                              <w:sz w:val="16"/>
                            </w:rPr>
                          </w:pPr>
                          <w:r>
                            <w:rPr>
                              <w:rFonts w:ascii="Humnst777 Lt BT" w:hAnsi="Humnst777 Lt BT"/>
                              <w:color w:val="FFFFFF"/>
                              <w:sz w:val="16"/>
                            </w:rPr>
                            <w:t>Memmert GmbH + Co. KG | Tel. +49 (0) 9122/925-0 | Fax +49 (0) 9122/145 85 | www.memmert.com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id="Rectangle 15" o:spid="_x0000_s1026" style="position:absolute;margin-left:172.65pt;margin-top:-37.45pt;width:413.6pt;height:1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" fillcolor="#c1001f" stroked="f">
              <v:textbox>
                <w:txbxContent>
                  <w:p w:rsidR="008C3471" w:rsidRPr="00C871F7" w:rsidRDefault="008C3471" w:rsidP="008C3471">
                    <w:pPr>
                      <w:jc w:val="right"/>
                      <w:rPr>
                        <w:color w:val="FFFFFF"/>
                        <w:sz w:val="16"/>
                        <w:rFonts w:ascii="Humnst777 Lt BT" w:hAnsi="Humnst777 Lt BT"/>
                      </w:rPr>
                    </w:pPr>
                    <w:r>
                      <w:rPr>
                        <w:color w:val="FFFFFF"/>
                        <w:sz w:val="16"/>
                        <w:rFonts w:ascii="Humnst777 Lt BT" w:hAnsi="Humnst777 Lt BT"/>
                      </w:rPr>
                      <w:t xml:space="preserve">Memmert GmbH + Co. KG | Tel. +49 (0) 9122/925-0 | Fax +49 (0) 9122/145 85 | www.memmert.com</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59F" w:rsidRDefault="0084759F">
      <w:r>
        <w:separator/>
      </w:r>
    </w:p>
  </w:footnote>
  <w:footnote w:type="continuationSeparator" w:id="0">
    <w:p w:rsidR="0084759F" w:rsidRDefault="00847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082" w:rsidRPr="005332E2" w:rsidRDefault="00707082" w:rsidP="00707082">
    <w:pPr>
      <w:pStyle w:val="Kopfzeile"/>
      <w:tabs>
        <w:tab w:val="clear" w:pos="4536"/>
        <w:tab w:val="clear" w:pos="9072"/>
        <w:tab w:val="left" w:pos="8789"/>
      </w:tabs>
      <w:rPr>
        <w:rFonts w:ascii="Humnst777 Lt BT" w:hAnsi="Humnst777 Lt BT"/>
        <w:sz w:val="12"/>
      </w:rPr>
    </w:pPr>
  </w:p>
  <w:p w:rsidR="00707082" w:rsidRPr="005332E2" w:rsidRDefault="00707082" w:rsidP="00707082">
    <w:pPr>
      <w:pStyle w:val="Kopfzeile"/>
      <w:tabs>
        <w:tab w:val="clear" w:pos="4536"/>
        <w:tab w:val="clear" w:pos="9072"/>
        <w:tab w:val="left" w:pos="8789"/>
      </w:tabs>
      <w:rPr>
        <w:rFonts w:ascii="Humnst777 Lt BT" w:hAnsi="Humnst777 Lt BT"/>
        <w:sz w:val="12"/>
      </w:rPr>
    </w:pPr>
  </w:p>
  <w:p w:rsidR="00707082" w:rsidRPr="005332E2" w:rsidRDefault="00707082" w:rsidP="00707082">
    <w:pPr>
      <w:pStyle w:val="Kopfzeile"/>
      <w:tabs>
        <w:tab w:val="clear" w:pos="4536"/>
        <w:tab w:val="clear" w:pos="9072"/>
        <w:tab w:val="left" w:pos="8789"/>
        <w:tab w:val="left" w:pos="8902"/>
      </w:tabs>
      <w:rPr>
        <w:rFonts w:ascii="Humnst777 Lt BT" w:hAnsi="Humnst777 Lt BT"/>
        <w:sz w:val="12"/>
      </w:rPr>
    </w:pPr>
  </w:p>
  <w:p w:rsidR="00707082" w:rsidRPr="005332E2" w:rsidRDefault="00707082" w:rsidP="00707082">
    <w:pPr>
      <w:pStyle w:val="Kopfzeile"/>
      <w:tabs>
        <w:tab w:val="clear" w:pos="4536"/>
        <w:tab w:val="clear" w:pos="9072"/>
        <w:tab w:val="left" w:pos="8789"/>
        <w:tab w:val="left" w:pos="8902"/>
      </w:tabs>
      <w:rPr>
        <w:rFonts w:ascii="Humnst777 Lt BT" w:hAnsi="Humnst777 Lt BT"/>
        <w:sz w:val="12"/>
      </w:rPr>
    </w:pPr>
  </w:p>
  <w:p w:rsidR="00707082" w:rsidRPr="004D2172" w:rsidRDefault="00707082" w:rsidP="00707082">
    <w:pPr>
      <w:pStyle w:val="Kopfzeile"/>
      <w:tabs>
        <w:tab w:val="clear" w:pos="4536"/>
        <w:tab w:val="clear" w:pos="9072"/>
        <w:tab w:val="left" w:pos="8789"/>
        <w:tab w:val="left" w:pos="8902"/>
      </w:tabs>
      <w:rPr>
        <w:rFonts w:ascii="Humnst777 Lt BT" w:hAnsi="Humnst777 Lt BT"/>
        <w:sz w:val="16"/>
        <w:szCs w:val="16"/>
      </w:rPr>
    </w:pPr>
  </w:p>
  <w:p w:rsidR="00707082" w:rsidRDefault="00EE35DB" w:rsidP="00707082">
    <w:pPr>
      <w:pStyle w:val="Kopfzeile"/>
      <w:tabs>
        <w:tab w:val="clear" w:pos="4536"/>
        <w:tab w:val="clear" w:pos="9072"/>
        <w:tab w:val="left" w:pos="8789"/>
      </w:tabs>
      <w:rPr>
        <w:rFonts w:ascii="Humnst777 Lt BT" w:hAnsi="Humnst777 Lt BT"/>
        <w:sz w:val="16"/>
      </w:rPr>
    </w:pPr>
    <w:r>
      <w:rPr>
        <w:rFonts w:ascii="Humnst777 Lt BT" w:hAnsi="Humnst777 Lt BT"/>
        <w:noProof/>
        <w:lang w:val="de-DE"/>
      </w:rPr>
      <w:drawing>
        <wp:anchor distT="0" distB="0" distL="114300" distR="114300" simplePos="0" relativeHeight="251658240" behindDoc="0" locked="1" layoutInCell="1" allowOverlap="1">
          <wp:simplePos x="0" y="0"/>
          <wp:positionH relativeFrom="column">
            <wp:posOffset>5591810</wp:posOffset>
          </wp:positionH>
          <wp:positionV relativeFrom="paragraph">
            <wp:posOffset>64770</wp:posOffset>
          </wp:positionV>
          <wp:extent cx="1439545" cy="360045"/>
          <wp:effectExtent l="19050" t="0" r="8255" b="0"/>
          <wp:wrapNone/>
          <wp:docPr id="13" name="Bild 13" descr="memm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emmert"/>
                  <pic:cNvPicPr>
                    <a:picLocks noChangeAspect="1" noChangeArrowheads="1"/>
                  </pic:cNvPicPr>
                </pic:nvPicPr>
                <pic:blipFill>
                  <a:blip r:embed="rId1"/>
                  <a:srcRect/>
                  <a:stretch>
                    <a:fillRect/>
                  </a:stretch>
                </pic:blipFill>
                <pic:spPr bwMode="auto">
                  <a:xfrm>
                    <a:off x="0" y="0"/>
                    <a:ext cx="1439545" cy="360045"/>
                  </a:xfrm>
                  <a:prstGeom prst="rect">
                    <a:avLst/>
                  </a:prstGeom>
                  <a:noFill/>
                  <a:ln w="9525">
                    <a:noFill/>
                    <a:miter lim="800000"/>
                    <a:headEnd/>
                    <a:tailEnd/>
                  </a:ln>
                </pic:spPr>
              </pic:pic>
            </a:graphicData>
          </a:graphic>
        </wp:anchor>
      </w:drawing>
    </w:r>
    <w:r>
      <w:rPr>
        <w:rFonts w:ascii="Humnst777 Lt BT" w:hAnsi="Humnst777 Lt BT"/>
        <w:noProof/>
        <w:lang w:val="de-DE"/>
      </w:rPr>
      <w:drawing>
        <wp:anchor distT="0" distB="0" distL="114300" distR="114300" simplePos="0" relativeHeight="251660288" behindDoc="0" locked="1" layoutInCell="1" allowOverlap="1">
          <wp:simplePos x="0" y="0"/>
          <wp:positionH relativeFrom="column">
            <wp:posOffset>4889500</wp:posOffset>
          </wp:positionH>
          <wp:positionV relativeFrom="paragraph">
            <wp:posOffset>133350</wp:posOffset>
          </wp:positionV>
          <wp:extent cx="501015" cy="501015"/>
          <wp:effectExtent l="19050" t="0" r="0" b="0"/>
          <wp:wrapNone/>
          <wp:docPr id="15" name="Bild 15" descr="ATMOSAFE_final_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TMOSAFE_final_transparent"/>
                  <pic:cNvPicPr>
                    <a:picLocks noChangeAspect="1" noChangeArrowheads="1"/>
                  </pic:cNvPicPr>
                </pic:nvPicPr>
                <pic:blipFill>
                  <a:blip r:embed="rId2"/>
                  <a:srcRect/>
                  <a:stretch>
                    <a:fillRect/>
                  </a:stretch>
                </pic:blipFill>
                <pic:spPr bwMode="auto">
                  <a:xfrm>
                    <a:off x="0" y="0"/>
                    <a:ext cx="501015" cy="501015"/>
                  </a:xfrm>
                  <a:prstGeom prst="rect">
                    <a:avLst/>
                  </a:prstGeom>
                  <a:noFill/>
                  <a:ln w="9525">
                    <a:noFill/>
                    <a:miter lim="800000"/>
                    <a:headEnd/>
                    <a:tailEnd/>
                  </a:ln>
                </pic:spPr>
              </pic:pic>
            </a:graphicData>
          </a:graphic>
        </wp:anchor>
      </w:drawing>
    </w:r>
    <w:r>
      <w:rPr>
        <w:rFonts w:ascii="Humnst777 Lt BT" w:hAnsi="Humnst777 Lt BT"/>
        <w:noProof/>
        <w:color w:val="FF0000"/>
        <w:sz w:val="74"/>
        <w:lang w:val="de-DE"/>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424815</wp:posOffset>
              </wp:positionV>
              <wp:extent cx="7560310" cy="0"/>
              <wp:effectExtent l="9525" t="15240" r="12065" b="1333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0"/>
                      </a:xfrm>
                      <a:prstGeom prst="straightConnector1">
                        <a:avLst/>
                      </a:prstGeom>
                      <a:noFill/>
                      <a:ln w="127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3A861E09" id="_x0000_t32" coordsize="21600,21600" o:spt="32" o:oned="t" path="m,l21600,21600e" filled="f">
              <v:path arrowok="t" fillok="f" o:connecttype="none"/>
              <o:lock v:ext="edit" shapetype="t"/>
            </v:shapetype>
            <v:shape id="AutoShape 14" o:spid="_x0000_s1026" type="#_x0000_t32" style="position:absolute;margin-left:0;margin-top:33.45pt;width:595.3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" strokecolor="red" strokeweight="1pt"/>
          </w:pict>
        </mc:Fallback>
      </mc:AlternateContent>
    </w:r>
  </w:p>
  <w:p w:rsidR="00707082" w:rsidRDefault="00707082" w:rsidP="00707082">
    <w:pPr>
      <w:pStyle w:val="Kopfzeile"/>
      <w:tabs>
        <w:tab w:val="clear" w:pos="4536"/>
        <w:tab w:val="clear" w:pos="9072"/>
        <w:tab w:val="left" w:pos="8789"/>
      </w:tabs>
      <w:rPr>
        <w:rFonts w:ascii="Humnst777 Lt BT" w:hAnsi="Humnst777 Lt BT"/>
        <w:sz w:val="16"/>
      </w:rPr>
    </w:pPr>
  </w:p>
  <w:p w:rsidR="00707082" w:rsidRDefault="00707082" w:rsidP="00707082">
    <w:pPr>
      <w:pStyle w:val="Kopfzeile"/>
      <w:tabs>
        <w:tab w:val="clear" w:pos="4536"/>
        <w:tab w:val="clear" w:pos="9072"/>
        <w:tab w:val="left" w:pos="8789"/>
      </w:tabs>
      <w:rPr>
        <w:rFonts w:ascii="Humnst777 Lt BT" w:hAnsi="Humnst777 Lt BT"/>
        <w:sz w:val="16"/>
      </w:rPr>
    </w:pPr>
  </w:p>
  <w:p w:rsidR="00707082" w:rsidRPr="004D2172" w:rsidRDefault="00707082" w:rsidP="00707082">
    <w:pPr>
      <w:pStyle w:val="Kopfzeile"/>
      <w:tabs>
        <w:tab w:val="clear" w:pos="4536"/>
        <w:tab w:val="clear" w:pos="9072"/>
        <w:tab w:val="left" w:pos="8789"/>
      </w:tabs>
      <w:spacing w:after="40"/>
      <w:rPr>
        <w:rFonts w:ascii="Humnst777 Lt BT" w:hAnsi="Humnst777 Lt BT"/>
        <w:sz w:val="16"/>
        <w:szCs w:val="16"/>
      </w:rPr>
    </w:pPr>
  </w:p>
  <w:p w:rsidR="00707082" w:rsidRPr="00555D39" w:rsidRDefault="00707082" w:rsidP="00707082">
    <w:pPr>
      <w:pStyle w:val="Kopfzeile"/>
      <w:tabs>
        <w:tab w:val="clear" w:pos="4536"/>
        <w:tab w:val="clear" w:pos="9072"/>
        <w:tab w:val="left" w:pos="8789"/>
      </w:tabs>
      <w:rPr>
        <w:rFonts w:ascii="Humnst777 BT" w:hAnsi="Humnst777 BT"/>
        <w:b/>
        <w:spacing w:val="16"/>
        <w:sz w:val="16"/>
        <w:szCs w:val="16"/>
      </w:rPr>
    </w:pPr>
    <w:r>
      <w:rPr>
        <w:rFonts w:ascii="Humnst777 Lt BT" w:hAnsi="Humnst777 Lt BT"/>
        <w:sz w:val="16"/>
      </w:rPr>
      <w:tab/>
    </w:r>
    <w:r>
      <w:rPr>
        <w:rFonts w:ascii="Humnst777 Lt BT" w:hAnsi="Humnst777 Lt BT"/>
        <w:sz w:val="4"/>
        <w:szCs w:val="4"/>
      </w:rPr>
      <w:t xml:space="preserve"> </w:t>
    </w:r>
    <w:r>
      <w:rPr>
        <w:rFonts w:ascii="Humnst777 BT" w:hAnsi="Humnst777 BT"/>
        <w:b/>
        <w:color w:val="808080"/>
        <w:sz w:val="16"/>
        <w:szCs w:val="16"/>
      </w:rPr>
      <w:t>Experts in Thermostatics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68BE" w:rsidRPr="005332E2" w:rsidRDefault="001768BE" w:rsidP="00212459">
    <w:pPr>
      <w:pStyle w:val="Kopfzeile"/>
      <w:tabs>
        <w:tab w:val="clear" w:pos="4536"/>
        <w:tab w:val="clear" w:pos="9072"/>
        <w:tab w:val="left" w:pos="8789"/>
      </w:tabs>
      <w:rPr>
        <w:rFonts w:ascii="Humnst777 Lt BT" w:hAnsi="Humnst777 Lt BT"/>
        <w:sz w:val="12"/>
      </w:rPr>
    </w:pPr>
  </w:p>
  <w:p w:rsidR="001768BE" w:rsidRPr="005332E2" w:rsidRDefault="001768BE" w:rsidP="00212459">
    <w:pPr>
      <w:pStyle w:val="Kopfzeile"/>
      <w:tabs>
        <w:tab w:val="clear" w:pos="4536"/>
        <w:tab w:val="clear" w:pos="9072"/>
        <w:tab w:val="left" w:pos="8789"/>
      </w:tabs>
      <w:rPr>
        <w:rFonts w:ascii="Humnst777 Lt BT" w:hAnsi="Humnst777 Lt BT"/>
        <w:sz w:val="12"/>
      </w:rPr>
    </w:pPr>
  </w:p>
  <w:p w:rsidR="001768BE" w:rsidRPr="005332E2" w:rsidRDefault="001768BE" w:rsidP="00212459">
    <w:pPr>
      <w:pStyle w:val="Kopfzeile"/>
      <w:tabs>
        <w:tab w:val="clear" w:pos="4536"/>
        <w:tab w:val="clear" w:pos="9072"/>
        <w:tab w:val="left" w:pos="8789"/>
        <w:tab w:val="left" w:pos="8902"/>
      </w:tabs>
      <w:rPr>
        <w:rFonts w:ascii="Humnst777 Lt BT" w:hAnsi="Humnst777 Lt BT"/>
        <w:sz w:val="12"/>
      </w:rPr>
    </w:pPr>
  </w:p>
  <w:p w:rsidR="001768BE" w:rsidRPr="005332E2" w:rsidRDefault="001768BE" w:rsidP="00212459">
    <w:pPr>
      <w:pStyle w:val="Kopfzeile"/>
      <w:tabs>
        <w:tab w:val="clear" w:pos="4536"/>
        <w:tab w:val="clear" w:pos="9072"/>
        <w:tab w:val="left" w:pos="8789"/>
        <w:tab w:val="left" w:pos="8902"/>
      </w:tabs>
      <w:rPr>
        <w:rFonts w:ascii="Humnst777 Lt BT" w:hAnsi="Humnst777 Lt BT"/>
        <w:sz w:val="12"/>
      </w:rPr>
    </w:pPr>
  </w:p>
  <w:p w:rsidR="001768BE" w:rsidRPr="004D2172" w:rsidRDefault="00FC7C55" w:rsidP="00212459">
    <w:pPr>
      <w:pStyle w:val="Kopfzeile"/>
      <w:tabs>
        <w:tab w:val="clear" w:pos="4536"/>
        <w:tab w:val="clear" w:pos="9072"/>
        <w:tab w:val="left" w:pos="8789"/>
        <w:tab w:val="left" w:pos="8902"/>
      </w:tabs>
      <w:rPr>
        <w:rFonts w:ascii="Humnst777 Lt BT" w:hAnsi="Humnst777 Lt BT"/>
        <w:sz w:val="16"/>
        <w:szCs w:val="16"/>
      </w:rPr>
    </w:pPr>
    <w:r>
      <w:rPr>
        <w:rFonts w:ascii="Humnst777 Lt BT" w:hAnsi="Humnst777 Lt BT"/>
        <w:noProof/>
        <w:sz w:val="16"/>
        <w:szCs w:val="16"/>
        <w:lang w:val="de-DE"/>
      </w:rPr>
      <w:drawing>
        <wp:anchor distT="0" distB="0" distL="114300" distR="114300" simplePos="0" relativeHeight="251662336" behindDoc="0" locked="0" layoutInCell="1" allowOverlap="1">
          <wp:simplePos x="0" y="0"/>
          <wp:positionH relativeFrom="margin">
            <wp:posOffset>4943475</wp:posOffset>
          </wp:positionH>
          <wp:positionV relativeFrom="margin">
            <wp:posOffset>-879475</wp:posOffset>
          </wp:positionV>
          <wp:extent cx="2263775" cy="809625"/>
          <wp:effectExtent l="19050" t="0" r="3175" b="0"/>
          <wp:wrapSquare wrapText="bothSides"/>
          <wp:docPr id="5" name="Bild 5" descr="N:\Werbung\logos\Memmert_AtmoSAFE\Memmert_AtmoLogo_Kom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Werbung\logos\Memmert_AtmoSAFE\Memmert_AtmoLogo_Kombi.jpg"/>
                  <pic:cNvPicPr>
                    <a:picLocks noChangeAspect="1" noChangeArrowheads="1"/>
                  </pic:cNvPicPr>
                </pic:nvPicPr>
                <pic:blipFill>
                  <a:blip r:embed="rId1"/>
                  <a:srcRect/>
                  <a:stretch>
                    <a:fillRect/>
                  </a:stretch>
                </pic:blipFill>
                <pic:spPr bwMode="auto">
                  <a:xfrm>
                    <a:off x="0" y="0"/>
                    <a:ext cx="2263775" cy="809625"/>
                  </a:xfrm>
                  <a:prstGeom prst="rect">
                    <a:avLst/>
                  </a:prstGeom>
                  <a:noFill/>
                  <a:ln w="9525">
                    <a:noFill/>
                    <a:miter lim="800000"/>
                    <a:headEnd/>
                    <a:tailEnd/>
                  </a:ln>
                </pic:spPr>
              </pic:pic>
            </a:graphicData>
          </a:graphic>
        </wp:anchor>
      </w:drawing>
    </w:r>
  </w:p>
  <w:p w:rsidR="004D2172" w:rsidRDefault="004D2172" w:rsidP="004D2172">
    <w:pPr>
      <w:pStyle w:val="Kopfzeile"/>
      <w:tabs>
        <w:tab w:val="clear" w:pos="4536"/>
        <w:tab w:val="clear" w:pos="9072"/>
        <w:tab w:val="left" w:pos="8789"/>
      </w:tabs>
      <w:rPr>
        <w:rFonts w:ascii="Humnst777 Lt BT" w:hAnsi="Humnst777 Lt BT"/>
        <w:sz w:val="16"/>
      </w:rPr>
    </w:pPr>
  </w:p>
  <w:p w:rsidR="001768BE" w:rsidRPr="00C871F7" w:rsidRDefault="001768BE" w:rsidP="00C871F7">
    <w:pPr>
      <w:pStyle w:val="Kopfzeile"/>
      <w:tabs>
        <w:tab w:val="clear" w:pos="4536"/>
        <w:tab w:val="clear" w:pos="9072"/>
        <w:tab w:val="left" w:pos="8789"/>
      </w:tabs>
      <w:rPr>
        <w:rFonts w:ascii="Humnst777 BT" w:hAnsi="Humnst777 BT"/>
        <w:b/>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B1D79"/>
    <w:multiLevelType w:val="hybridMultilevel"/>
    <w:tmpl w:val="BC4E90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6767BF2"/>
    <w:multiLevelType w:val="hybridMultilevel"/>
    <w:tmpl w:val="95FEA9CA"/>
    <w:lvl w:ilvl="0" w:tplc="0407000D">
      <w:start w:val="1"/>
      <w:numFmt w:val="bullet"/>
      <w:lvlText w:val=""/>
      <w:lvlJc w:val="left"/>
      <w:pPr>
        <w:ind w:left="1494" w:hanging="360"/>
      </w:pPr>
      <w:rPr>
        <w:rFonts w:ascii="Wingdings" w:hAnsi="Wingdings"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
    <w:nsid w:val="10AB1A5D"/>
    <w:multiLevelType w:val="hybridMultilevel"/>
    <w:tmpl w:val="E46EF0BC"/>
    <w:lvl w:ilvl="0" w:tplc="79F65AEE">
      <w:start w:val="5"/>
      <w:numFmt w:val="bullet"/>
      <w:lvlText w:val=""/>
      <w:lvlJc w:val="left"/>
      <w:pPr>
        <w:ind w:left="1494" w:hanging="360"/>
      </w:pPr>
      <w:rPr>
        <w:rFonts w:ascii="Symbol" w:eastAsia="Times New Roman" w:hAnsi="Symbol"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3">
    <w:nsid w:val="14912CC8"/>
    <w:multiLevelType w:val="hybridMultilevel"/>
    <w:tmpl w:val="421C8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C6A17B2"/>
    <w:multiLevelType w:val="hybridMultilevel"/>
    <w:tmpl w:val="ED2EA664"/>
    <w:lvl w:ilvl="0" w:tplc="2A648612">
      <w:start w:val="5"/>
      <w:numFmt w:val="bullet"/>
      <w:lvlText w:val="-"/>
      <w:lvlJc w:val="left"/>
      <w:pPr>
        <w:ind w:left="1494" w:hanging="360"/>
      </w:pPr>
      <w:rPr>
        <w:rFonts w:ascii="Humnst777 Lt BT" w:eastAsia="Times New Roman" w:hAnsi="Humnst777 Lt BT" w:cs="Times New Roman" w:hint="default"/>
      </w:rPr>
    </w:lvl>
    <w:lvl w:ilvl="1" w:tplc="04070003" w:tentative="1">
      <w:start w:val="1"/>
      <w:numFmt w:val="bullet"/>
      <w:lvlText w:val="o"/>
      <w:lvlJc w:val="left"/>
      <w:pPr>
        <w:ind w:left="2214" w:hanging="360"/>
      </w:pPr>
      <w:rPr>
        <w:rFonts w:ascii="Courier New" w:hAnsi="Courier New" w:cs="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cs="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cs="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5">
    <w:nsid w:val="5D1C3946"/>
    <w:multiLevelType w:val="hybridMultilevel"/>
    <w:tmpl w:val="D11012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65A5A80"/>
    <w:multiLevelType w:val="multilevel"/>
    <w:tmpl w:val="D8D859FC"/>
    <w:lvl w:ilvl="0">
      <w:start w:val="1"/>
      <w:numFmt w:val="decimal"/>
      <w:pStyle w:val="Formatvorlage1"/>
      <w:lvlText w:val="%1."/>
      <w:lvlJc w:val="left"/>
      <w:pPr>
        <w:tabs>
          <w:tab w:val="num" w:pos="360"/>
        </w:tabs>
        <w:ind w:left="227" w:hanging="227"/>
      </w:pPr>
      <w:rPr>
        <w:rFonts w:hint="default"/>
      </w:rPr>
    </w:lvl>
    <w:lvl w:ilvl="1">
      <w:start w:val="1"/>
      <w:numFmt w:val="decimal"/>
      <w:lvlText w:val="%1.%2."/>
      <w:lvlJc w:val="left"/>
      <w:pPr>
        <w:tabs>
          <w:tab w:val="num" w:pos="737"/>
        </w:tabs>
        <w:ind w:left="737" w:hanging="51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9"/>
  <w:hyphenationZone w:val="425"/>
  <w:noPunctuationKerning/>
  <w:characterSpacingControl w:val="doNotCompress"/>
  <w:hdrShapeDefaults>
    <o:shapedefaults v:ext="edit" spidmax="8193">
      <o:colormru v:ext="edit" colors="#c1001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092"/>
    <w:rsid w:val="00007527"/>
    <w:rsid w:val="0001514E"/>
    <w:rsid w:val="00097FD2"/>
    <w:rsid w:val="000B3565"/>
    <w:rsid w:val="000D1637"/>
    <w:rsid w:val="000D3DE7"/>
    <w:rsid w:val="000F279A"/>
    <w:rsid w:val="001270BC"/>
    <w:rsid w:val="001545CF"/>
    <w:rsid w:val="001635BE"/>
    <w:rsid w:val="001768BE"/>
    <w:rsid w:val="0018350D"/>
    <w:rsid w:val="0018607F"/>
    <w:rsid w:val="001919F1"/>
    <w:rsid w:val="001E22BB"/>
    <w:rsid w:val="001F7C15"/>
    <w:rsid w:val="00204C10"/>
    <w:rsid w:val="00210D75"/>
    <w:rsid w:val="00212459"/>
    <w:rsid w:val="00214ADC"/>
    <w:rsid w:val="00246999"/>
    <w:rsid w:val="00252820"/>
    <w:rsid w:val="00253EDE"/>
    <w:rsid w:val="0028114F"/>
    <w:rsid w:val="002F759F"/>
    <w:rsid w:val="00312EBC"/>
    <w:rsid w:val="003132AA"/>
    <w:rsid w:val="00317641"/>
    <w:rsid w:val="00326C67"/>
    <w:rsid w:val="003323AC"/>
    <w:rsid w:val="003423A0"/>
    <w:rsid w:val="0038120C"/>
    <w:rsid w:val="003816B8"/>
    <w:rsid w:val="003D0E62"/>
    <w:rsid w:val="003F43D8"/>
    <w:rsid w:val="00426E6F"/>
    <w:rsid w:val="004822BB"/>
    <w:rsid w:val="004C1E8C"/>
    <w:rsid w:val="004C5CB2"/>
    <w:rsid w:val="004D2172"/>
    <w:rsid w:val="004D46D0"/>
    <w:rsid w:val="004D496F"/>
    <w:rsid w:val="0052355E"/>
    <w:rsid w:val="005332E2"/>
    <w:rsid w:val="00555D39"/>
    <w:rsid w:val="00590EE6"/>
    <w:rsid w:val="005C5708"/>
    <w:rsid w:val="005C669D"/>
    <w:rsid w:val="005E030E"/>
    <w:rsid w:val="006742CB"/>
    <w:rsid w:val="00695014"/>
    <w:rsid w:val="006E2576"/>
    <w:rsid w:val="006F6D7C"/>
    <w:rsid w:val="00707082"/>
    <w:rsid w:val="00710605"/>
    <w:rsid w:val="00715804"/>
    <w:rsid w:val="00731C20"/>
    <w:rsid w:val="00735F0B"/>
    <w:rsid w:val="00761B90"/>
    <w:rsid w:val="00763D85"/>
    <w:rsid w:val="00766C46"/>
    <w:rsid w:val="007968E9"/>
    <w:rsid w:val="007A3B19"/>
    <w:rsid w:val="007A4A3E"/>
    <w:rsid w:val="007D72B1"/>
    <w:rsid w:val="007E70FE"/>
    <w:rsid w:val="007F4D49"/>
    <w:rsid w:val="007F5770"/>
    <w:rsid w:val="00801F63"/>
    <w:rsid w:val="008033DA"/>
    <w:rsid w:val="00811823"/>
    <w:rsid w:val="0084759F"/>
    <w:rsid w:val="008659C6"/>
    <w:rsid w:val="008667EB"/>
    <w:rsid w:val="00887CFA"/>
    <w:rsid w:val="008920FA"/>
    <w:rsid w:val="008A47E1"/>
    <w:rsid w:val="008C0E4E"/>
    <w:rsid w:val="008C3471"/>
    <w:rsid w:val="008C3D5F"/>
    <w:rsid w:val="008E27EE"/>
    <w:rsid w:val="008E4AB9"/>
    <w:rsid w:val="008F0D5A"/>
    <w:rsid w:val="00911448"/>
    <w:rsid w:val="00914559"/>
    <w:rsid w:val="00915C65"/>
    <w:rsid w:val="00921163"/>
    <w:rsid w:val="00945092"/>
    <w:rsid w:val="00947705"/>
    <w:rsid w:val="0096369B"/>
    <w:rsid w:val="0099156D"/>
    <w:rsid w:val="00994A27"/>
    <w:rsid w:val="009C052C"/>
    <w:rsid w:val="009C602E"/>
    <w:rsid w:val="00A31ACC"/>
    <w:rsid w:val="00A40126"/>
    <w:rsid w:val="00A54D33"/>
    <w:rsid w:val="00A627AF"/>
    <w:rsid w:val="00A86915"/>
    <w:rsid w:val="00AE3B12"/>
    <w:rsid w:val="00B15D49"/>
    <w:rsid w:val="00B53E04"/>
    <w:rsid w:val="00B70391"/>
    <w:rsid w:val="00BC4F9A"/>
    <w:rsid w:val="00C34FE9"/>
    <w:rsid w:val="00C60A30"/>
    <w:rsid w:val="00C71811"/>
    <w:rsid w:val="00C871F7"/>
    <w:rsid w:val="00CC76D4"/>
    <w:rsid w:val="00CD2A18"/>
    <w:rsid w:val="00CE09F7"/>
    <w:rsid w:val="00CE0B3B"/>
    <w:rsid w:val="00CE142E"/>
    <w:rsid w:val="00D00A27"/>
    <w:rsid w:val="00D0365F"/>
    <w:rsid w:val="00D06CFB"/>
    <w:rsid w:val="00D1522E"/>
    <w:rsid w:val="00D32D5D"/>
    <w:rsid w:val="00D42339"/>
    <w:rsid w:val="00D75903"/>
    <w:rsid w:val="00D76C24"/>
    <w:rsid w:val="00D824E9"/>
    <w:rsid w:val="00D9181D"/>
    <w:rsid w:val="00E02DE1"/>
    <w:rsid w:val="00E2515E"/>
    <w:rsid w:val="00EA4D34"/>
    <w:rsid w:val="00EE35DB"/>
    <w:rsid w:val="00F253E7"/>
    <w:rsid w:val="00F26982"/>
    <w:rsid w:val="00F36ACF"/>
    <w:rsid w:val="00F767EF"/>
    <w:rsid w:val="00FA1D47"/>
    <w:rsid w:val="00FA22CF"/>
    <w:rsid w:val="00FC7C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c1001f"/>
    </o:shapedefaults>
    <o:shapelayout v:ext="edit">
      <o:idmap v:ext="edit" data="1"/>
    </o:shapelayout>
  </w:shapeDefaults>
  <w:decimalSymbol w:val=","/>
  <w:listSeparator w:val=";"/>
  <w15:docId w15:val="{33A828A8-F8A3-45EE-B94A-F4E0894B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E27EE"/>
    <w:rPr>
      <w:sz w:val="24"/>
      <w:szCs w:val="24"/>
    </w:rPr>
  </w:style>
  <w:style w:type="paragraph" w:styleId="berschrift5">
    <w:name w:val="heading 5"/>
    <w:basedOn w:val="Standard"/>
    <w:next w:val="Standard"/>
    <w:qFormat/>
    <w:rsid w:val="008E27EE"/>
    <w:pPr>
      <w:keepNext/>
      <w:spacing w:line="360" w:lineRule="auto"/>
      <w:outlineLvl w:val="4"/>
    </w:pPr>
    <w:rPr>
      <w:rFonts w:ascii="Humnst777 BT" w:hAnsi="Humnst777 BT"/>
      <w:vanish/>
      <w:spacing w:val="-2"/>
      <w:sz w:val="14"/>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rafiken">
    <w:name w:val="Grafiken"/>
    <w:basedOn w:val="Standard"/>
    <w:rsid w:val="009C602E"/>
  </w:style>
  <w:style w:type="paragraph" w:customStyle="1" w:styleId="Formatvorlage1">
    <w:name w:val="Formatvorlage1"/>
    <w:basedOn w:val="Standard"/>
    <w:rsid w:val="009C602E"/>
    <w:pPr>
      <w:numPr>
        <w:numId w:val="1"/>
      </w:numPr>
    </w:pPr>
  </w:style>
  <w:style w:type="paragraph" w:styleId="Kopfzeile">
    <w:name w:val="header"/>
    <w:basedOn w:val="Standard"/>
    <w:semiHidden/>
    <w:rsid w:val="009C602E"/>
    <w:pPr>
      <w:tabs>
        <w:tab w:val="center" w:pos="4536"/>
        <w:tab w:val="right" w:pos="9072"/>
      </w:tabs>
    </w:pPr>
  </w:style>
  <w:style w:type="paragraph" w:styleId="Fuzeile">
    <w:name w:val="footer"/>
    <w:basedOn w:val="Standard"/>
    <w:semiHidden/>
    <w:rsid w:val="009C602E"/>
    <w:pPr>
      <w:tabs>
        <w:tab w:val="center" w:pos="4536"/>
        <w:tab w:val="right" w:pos="9072"/>
      </w:tabs>
    </w:pPr>
  </w:style>
  <w:style w:type="character" w:styleId="Hyperlink">
    <w:name w:val="Hyperlink"/>
    <w:basedOn w:val="Absatz-Standardschriftart"/>
    <w:semiHidden/>
    <w:rsid w:val="009C602E"/>
    <w:rPr>
      <w:color w:val="0000FF"/>
      <w:u w:val="single"/>
    </w:rPr>
  </w:style>
  <w:style w:type="paragraph" w:styleId="Sprechblasentext">
    <w:name w:val="Balloon Text"/>
    <w:basedOn w:val="Standard"/>
    <w:link w:val="SprechblasentextZchn"/>
    <w:uiPriority w:val="99"/>
    <w:semiHidden/>
    <w:unhideWhenUsed/>
    <w:rsid w:val="001768B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768BE"/>
    <w:rPr>
      <w:rFonts w:ascii="Tahoma" w:hAnsi="Tahoma" w:cs="Tahoma"/>
      <w:sz w:val="16"/>
      <w:szCs w:val="16"/>
    </w:rPr>
  </w:style>
  <w:style w:type="paragraph" w:styleId="Listenabsatz">
    <w:name w:val="List Paragraph"/>
    <w:basedOn w:val="Standard"/>
    <w:uiPriority w:val="34"/>
    <w:qFormat/>
    <w:rsid w:val="0052355E"/>
    <w:pPr>
      <w:ind w:left="708"/>
    </w:pPr>
  </w:style>
  <w:style w:type="table" w:styleId="Tabellenraster">
    <w:name w:val="Table Grid"/>
    <w:basedOn w:val="NormaleTabelle"/>
    <w:uiPriority w:val="59"/>
    <w:rsid w:val="005235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Standard"/>
    <w:rsid w:val="004D496F"/>
    <w:pPr>
      <w:spacing w:before="100" w:beforeAutospacing="1" w:after="100" w:afterAutospacing="1"/>
    </w:pPr>
    <w:rPr>
      <w:snapToGrid w:val="0"/>
      <w:lang w:eastAsia="es-ES"/>
    </w:rPr>
  </w:style>
  <w:style w:type="character" w:styleId="Fett">
    <w:name w:val="Strong"/>
    <w:basedOn w:val="Absatz-Standardschriftart"/>
    <w:uiPriority w:val="22"/>
    <w:qFormat/>
    <w:rsid w:val="00C718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emmert.local\Vorlagen\membrief_pdf_d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membrief_pdf_de.dot</Template>
  <TotalTime>0</TotalTime>
  <Pages>2</Pages>
  <Words>422</Words>
  <Characters>2234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Memmert GmbH + Co</vt:lpstr>
    </vt:vector>
  </TitlesOfParts>
  <Company>Memmert GmbH + Co. KG</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Memmert GmbH + Co</dc:title>
  <dc:creator>Administrator</dc:creator>
  <cp:lastModifiedBy>Christina Burlein</cp:lastModifiedBy>
  <cp:revision>10</cp:revision>
  <cp:lastPrinted>2015-08-24T13:08:00Z</cp:lastPrinted>
  <dcterms:created xsi:type="dcterms:W3CDTF">2018-03-28T12:04:00Z</dcterms:created>
  <dcterms:modified xsi:type="dcterms:W3CDTF">2018-04-05T12:58:00Z</dcterms:modified>
</cp:coreProperties>
</file>